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54" w:line="378"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附件3：</w:t>
      </w:r>
    </w:p>
    <w:p>
      <w:pPr>
        <w:pStyle w:val="3"/>
        <w:spacing w:after="37" w:line="731" w:lineRule="exact"/>
        <w:ind w:right="0"/>
        <w:jc w:val="center"/>
        <w:rPr>
          <w:rFonts w:hint="default" w:ascii="Noto Sans Mono CJK JP Bold" w:eastAsia="方正小标宋简体"/>
          <w:sz w:val="30"/>
          <w:lang w:val="en-US" w:eastAsia="zh-CN"/>
        </w:rPr>
      </w:pPr>
      <w:r>
        <w:rPr>
          <w:rFonts w:hint="eastAsia" w:ascii="方正小标宋简体" w:hAnsi="方正小标宋简体" w:eastAsia="方正小标宋简体" w:cs="方正小标宋简体"/>
          <w:lang w:val="en-US" w:eastAsia="zh-CN"/>
        </w:rPr>
        <w:t>江苏医药职业学院</w:t>
      </w:r>
      <w:r>
        <w:rPr>
          <w:rFonts w:hint="eastAsia" w:ascii="方正小标宋简体" w:hAnsi="方正小标宋简体" w:eastAsia="方正小标宋简体" w:cs="方正小标宋简体"/>
        </w:rPr>
        <w:t>党总支党建工作考核</w:t>
      </w:r>
      <w:r>
        <w:rPr>
          <w:rFonts w:hint="eastAsia" w:ascii="方正小标宋简体" w:hAnsi="方正小标宋简体" w:eastAsia="方正小标宋简体" w:cs="方正小标宋简体"/>
          <w:lang w:val="en-US" w:eastAsia="zh-CN"/>
        </w:rPr>
        <w:t>评分标准</w:t>
      </w:r>
      <w:bookmarkStart w:id="0" w:name="_GoBack"/>
      <w:bookmarkEnd w:id="0"/>
    </w:p>
    <w:tbl>
      <w:tblPr>
        <w:tblStyle w:val="8"/>
        <w:tblW w:w="13860"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960"/>
        <w:gridCol w:w="572"/>
        <w:gridCol w:w="10363"/>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585" w:type="dxa"/>
            <w:tcBorders>
              <w:right w:val="single" w:color="auto" w:sz="4" w:space="0"/>
            </w:tcBorders>
            <w:vAlign w:val="center"/>
          </w:tcPr>
          <w:p>
            <w:pPr>
              <w:autoSpaceDE/>
              <w:autoSpaceDN/>
              <w:jc w:val="center"/>
              <w:rPr>
                <w:rFonts w:hint="eastAsia" w:asciiTheme="minorHAnsi" w:hAnsiTheme="minorHAnsi" w:eastAsiaTheme="minorEastAsia" w:cstheme="minorBidi"/>
                <w:b w:val="0"/>
                <w:bCs w:val="0"/>
                <w:kern w:val="2"/>
                <w:sz w:val="21"/>
                <w:szCs w:val="21"/>
                <w:lang w:val="en-US" w:eastAsia="zh-CN"/>
              </w:rPr>
            </w:pPr>
            <w:r>
              <w:rPr>
                <w:rFonts w:hint="eastAsia" w:asciiTheme="minorHAnsi" w:hAnsiTheme="minorHAnsi" w:eastAsiaTheme="minorEastAsia" w:cstheme="minorBidi"/>
                <w:b w:val="0"/>
                <w:bCs w:val="0"/>
                <w:kern w:val="2"/>
                <w:sz w:val="21"/>
                <w:szCs w:val="21"/>
                <w:lang w:val="en-US" w:eastAsia="zh-CN"/>
              </w:rPr>
              <w:t>序号</w:t>
            </w:r>
          </w:p>
        </w:tc>
        <w:tc>
          <w:tcPr>
            <w:tcW w:w="96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heme="minorHAnsi" w:hAnsiTheme="minorHAnsi" w:eastAsiaTheme="minorEastAsia" w:cstheme="minorBidi"/>
                <w:b w:val="0"/>
                <w:bCs w:val="0"/>
                <w:kern w:val="2"/>
                <w:sz w:val="21"/>
                <w:szCs w:val="21"/>
              </w:rPr>
            </w:pPr>
            <w:r>
              <w:rPr>
                <w:rFonts w:asciiTheme="minorHAnsi" w:hAnsiTheme="minorHAnsi" w:eastAsiaTheme="minorEastAsia" w:cstheme="minorBidi"/>
                <w:b w:val="0"/>
                <w:bCs w:val="0"/>
                <w:kern w:val="2"/>
                <w:sz w:val="24"/>
                <w:szCs w:val="24"/>
              </w:rPr>
              <w:t>指</w:t>
            </w:r>
            <w:r>
              <w:rPr>
                <w:rFonts w:hint="eastAsia" w:asciiTheme="minorHAnsi" w:hAnsiTheme="minorHAnsi" w:eastAsiaTheme="minorEastAsia" w:cstheme="minorBidi"/>
                <w:b w:val="0"/>
                <w:bCs w:val="0"/>
                <w:kern w:val="2"/>
                <w:sz w:val="24"/>
                <w:szCs w:val="24"/>
                <w:lang w:val="en-US" w:eastAsia="zh-CN"/>
              </w:rPr>
              <w:t xml:space="preserve">    </w:t>
            </w:r>
            <w:r>
              <w:rPr>
                <w:rFonts w:asciiTheme="minorHAnsi" w:hAnsiTheme="minorHAnsi" w:eastAsiaTheme="minorEastAsia" w:cstheme="minorBidi"/>
                <w:b w:val="0"/>
                <w:bCs w:val="0"/>
                <w:kern w:val="2"/>
                <w:sz w:val="24"/>
                <w:szCs w:val="24"/>
              </w:rPr>
              <w:t>标</w:t>
            </w:r>
          </w:p>
        </w:tc>
        <w:tc>
          <w:tcPr>
            <w:tcW w:w="572"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hint="default" w:asciiTheme="minorHAnsi" w:hAnsiTheme="minorHAnsi" w:eastAsiaTheme="minorEastAsia" w:cstheme="minorBidi"/>
                <w:b w:val="0"/>
                <w:bCs w:val="0"/>
                <w:kern w:val="2"/>
                <w:sz w:val="21"/>
                <w:szCs w:val="21"/>
                <w:lang w:val="en-US" w:eastAsia="zh-CN" w:bidi="ar-SA"/>
              </w:rPr>
            </w:pPr>
            <w:r>
              <w:rPr>
                <w:rFonts w:hint="eastAsia" w:asciiTheme="minorHAnsi" w:hAnsiTheme="minorHAnsi" w:eastAsiaTheme="minorEastAsia" w:cstheme="minorBidi"/>
                <w:b w:val="0"/>
                <w:bCs w:val="0"/>
                <w:kern w:val="2"/>
                <w:sz w:val="21"/>
                <w:szCs w:val="21"/>
                <w:lang w:val="en-US" w:eastAsia="zh-CN"/>
              </w:rPr>
              <w:t>分值</w:t>
            </w:r>
          </w:p>
        </w:tc>
        <w:tc>
          <w:tcPr>
            <w:tcW w:w="10363"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hint="default" w:asciiTheme="minorHAnsi" w:hAnsiTheme="minorHAnsi" w:eastAsiaTheme="minorEastAsia" w:cstheme="minorBidi"/>
                <w:b w:val="0"/>
                <w:bCs w:val="0"/>
                <w:kern w:val="2"/>
                <w:sz w:val="21"/>
                <w:szCs w:val="21"/>
                <w:lang w:val="en-US" w:eastAsia="zh-CN"/>
              </w:rPr>
            </w:pPr>
            <w:r>
              <w:rPr>
                <w:rFonts w:hint="eastAsia" w:asciiTheme="minorHAnsi" w:hAnsiTheme="minorHAnsi" w:eastAsiaTheme="minorEastAsia" w:cstheme="minorBidi"/>
                <w:b w:val="0"/>
                <w:bCs w:val="0"/>
                <w:kern w:val="2"/>
                <w:sz w:val="21"/>
                <w:szCs w:val="21"/>
                <w:lang w:val="en-US" w:eastAsia="zh-CN"/>
              </w:rPr>
              <w:t>计分办法</w:t>
            </w:r>
          </w:p>
        </w:tc>
        <w:tc>
          <w:tcPr>
            <w:tcW w:w="138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考核部门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585" w:type="dxa"/>
            <w:tcBorders>
              <w:bottom w:val="single" w:color="auto" w:sz="4" w:space="0"/>
              <w:right w:val="single" w:color="auto" w:sz="4" w:space="0"/>
            </w:tcBorders>
            <w:vAlign w:val="center"/>
          </w:tcPr>
          <w:p>
            <w:pPr>
              <w:numPr>
                <w:ilvl w:val="0"/>
                <w:numId w:val="0"/>
              </w:num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w:t>
            </w:r>
          </w:p>
        </w:tc>
        <w:tc>
          <w:tcPr>
            <w:tcW w:w="96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加强政治建设，提升政治能力</w:t>
            </w:r>
          </w:p>
        </w:tc>
        <w:tc>
          <w:tcPr>
            <w:tcW w:w="572"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8</w:t>
            </w:r>
          </w:p>
        </w:tc>
        <w:tc>
          <w:tcPr>
            <w:tcW w:w="10363" w:type="dxa"/>
            <w:tcBorders>
              <w:top w:val="single" w:color="auto" w:sz="4" w:space="0"/>
              <w:left w:val="single" w:color="auto" w:sz="4" w:space="0"/>
              <w:bottom w:val="single" w:color="auto" w:sz="4" w:space="0"/>
              <w:right w:val="single" w:color="auto" w:sz="4" w:space="0"/>
            </w:tcBorders>
          </w:tcPr>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全面贯彻执行党的政治路线，巩固深化主题教育成果，跟进学习习近平总书记最新重要论述；及时传达学习中央、省市及学校党政决策部署，专题研究或出台具体落实举措；组织开展庆祝中国共产党成立100周年系列活动，占4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2.严肃党内政治生活，落实领导干部双重组织生活制度和“三会一课”、民主生活会、组织生活会、民主评议党员、党日活动、谈心谈话制度，“三会一课”质量高，民主生活会、组织生活会批评与自我批评深刻；常态化开展政治学习和培训，强化班子成员和内设机构负责人政治历练，在大是大非面前态度鲜明、立场坚定，占4分。</w:t>
            </w:r>
          </w:p>
        </w:tc>
        <w:tc>
          <w:tcPr>
            <w:tcW w:w="1380" w:type="dxa"/>
            <w:tcBorders>
              <w:top w:val="single" w:color="auto" w:sz="4" w:space="0"/>
              <w:left w:val="single" w:color="auto" w:sz="4" w:space="0"/>
              <w:bottom w:val="single" w:color="auto" w:sz="4" w:space="0"/>
              <w:right w:val="single" w:color="auto" w:sz="4" w:space="0"/>
            </w:tcBorders>
            <w:vAlign w:val="center"/>
          </w:tcPr>
          <w:p>
            <w:pPr>
              <w:autoSpaceDE/>
              <w:autoSpaceDN/>
              <w:ind w:firstLine="420" w:firstLineChars="200"/>
              <w:jc w:val="both"/>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办公室</w:t>
            </w:r>
          </w:p>
          <w:p>
            <w:pPr>
              <w:autoSpaceDE/>
              <w:autoSpaceDN/>
              <w:ind w:firstLine="420" w:firstLineChars="200"/>
              <w:jc w:val="both"/>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组织部</w:t>
            </w:r>
          </w:p>
          <w:p>
            <w:pPr>
              <w:autoSpaceDE/>
              <w:autoSpaceDN/>
              <w:ind w:firstLine="420" w:firstLineChars="200"/>
              <w:jc w:val="both"/>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宣传部</w:t>
            </w:r>
          </w:p>
          <w:p>
            <w:pPr>
              <w:autoSpaceDE/>
              <w:autoSpaceDN/>
              <w:ind w:firstLine="420" w:firstLineChars="200"/>
              <w:jc w:val="both"/>
              <w:rPr>
                <w:rFonts w:hint="default" w:asciiTheme="minorHAnsi" w:hAnsiTheme="minorHAnsi" w:eastAsiaTheme="minorEastAsia" w:cstheme="minorBidi"/>
                <w:kern w:val="2"/>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585" w:type="dxa"/>
            <w:tcBorders>
              <w:bottom w:val="single" w:color="auto" w:sz="4" w:space="0"/>
              <w:right w:val="single" w:color="auto" w:sz="4" w:space="0"/>
            </w:tcBorders>
            <w:vAlign w:val="center"/>
          </w:tcPr>
          <w:p>
            <w:pPr>
              <w:numPr>
                <w:ilvl w:val="0"/>
                <w:numId w:val="0"/>
              </w:num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2</w:t>
            </w:r>
          </w:p>
        </w:tc>
        <w:tc>
          <w:tcPr>
            <w:tcW w:w="96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贯彻落实党政共同负责制</w:t>
            </w:r>
          </w:p>
        </w:tc>
        <w:tc>
          <w:tcPr>
            <w:tcW w:w="572"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4</w:t>
            </w:r>
          </w:p>
        </w:tc>
        <w:tc>
          <w:tcPr>
            <w:tcW w:w="10363" w:type="dxa"/>
            <w:tcBorders>
              <w:top w:val="single" w:color="auto" w:sz="4" w:space="0"/>
              <w:left w:val="single" w:color="auto" w:sz="4" w:space="0"/>
              <w:bottom w:val="single" w:color="auto" w:sz="4" w:space="0"/>
              <w:right w:val="single" w:color="auto" w:sz="4" w:space="0"/>
            </w:tcBorders>
          </w:tcPr>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1.落实《中国共产党普通高等学校基层组织工作条例》，领导班子分工明确，团结协作，占1分。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2.依据《示范文本》修订党组织会议和党政联席会议制度并严格落实，通过党政联席会议等讨论决定本单位重要事项，支持本单位行政领导班子和负责人开展工作，保证教学科研管理等各项任务圆满完成，占2分。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3.坚持民主集中制，贯彻“三重一大”集体决策制度，畅通经常性交流渠道，规范集体决策程序，健全民主决策机制，占1分。</w:t>
            </w:r>
          </w:p>
        </w:tc>
        <w:tc>
          <w:tcPr>
            <w:tcW w:w="1380" w:type="dxa"/>
            <w:tcBorders>
              <w:top w:val="single" w:color="auto" w:sz="4" w:space="0"/>
              <w:left w:val="single" w:color="auto" w:sz="4" w:space="0"/>
              <w:bottom w:val="single" w:color="auto" w:sz="4" w:space="0"/>
              <w:right w:val="single" w:color="auto" w:sz="4" w:space="0"/>
            </w:tcBorders>
            <w:vAlign w:val="center"/>
          </w:tcPr>
          <w:p>
            <w:pPr>
              <w:autoSpaceDE/>
              <w:autoSpaceDN/>
              <w:ind w:firstLine="420" w:firstLineChars="200"/>
              <w:jc w:val="both"/>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组织部</w:t>
            </w:r>
          </w:p>
          <w:p>
            <w:pPr>
              <w:autoSpaceDE/>
              <w:autoSpaceDN/>
              <w:ind w:firstLine="420" w:firstLineChars="200"/>
              <w:jc w:val="both"/>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585" w:type="dxa"/>
            <w:tcBorders>
              <w:bottom w:val="single" w:color="auto" w:sz="4" w:space="0"/>
              <w:right w:val="single" w:color="auto" w:sz="4" w:space="0"/>
            </w:tcBorders>
            <w:vAlign w:val="center"/>
          </w:tcPr>
          <w:p>
            <w:pPr>
              <w:numPr>
                <w:ilvl w:val="0"/>
                <w:numId w:val="0"/>
              </w:num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3</w:t>
            </w:r>
          </w:p>
        </w:tc>
        <w:tc>
          <w:tcPr>
            <w:tcW w:w="96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加强理论武装工作</w:t>
            </w:r>
          </w:p>
        </w:tc>
        <w:tc>
          <w:tcPr>
            <w:tcW w:w="572"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6</w:t>
            </w:r>
          </w:p>
        </w:tc>
        <w:tc>
          <w:tcPr>
            <w:tcW w:w="10363" w:type="dxa"/>
            <w:tcBorders>
              <w:top w:val="single" w:color="auto" w:sz="4" w:space="0"/>
              <w:left w:val="single" w:color="auto" w:sz="4" w:space="0"/>
              <w:bottom w:val="single" w:color="auto" w:sz="4" w:space="0"/>
              <w:right w:val="single" w:color="auto" w:sz="4" w:space="0"/>
            </w:tcBorders>
          </w:tcPr>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1.落实理论学习中心组学习制度，中心组集体学习讨论全年6次及以上、成员发言每人1次及以上，占2分。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2.落实党员教育培训要求，党员中层干部参加学习培训不少于110学时、基层党务干部参加学习培训不少于56学时、教师党员参加学习培训不少于32学时，抓好学生党员学习管理，运用好“学习强国”平台，强化考核监督，占2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3.加强入党积极分子和党员发展对象教育培训，党的基本知识考试合格率高，占2分。</w:t>
            </w:r>
          </w:p>
        </w:tc>
        <w:tc>
          <w:tcPr>
            <w:tcW w:w="1380" w:type="dxa"/>
            <w:tcBorders>
              <w:top w:val="single" w:color="auto" w:sz="4" w:space="0"/>
              <w:left w:val="single" w:color="auto" w:sz="4" w:space="0"/>
              <w:bottom w:val="single" w:color="auto" w:sz="4" w:space="0"/>
              <w:right w:val="single" w:color="auto" w:sz="4" w:space="0"/>
            </w:tcBorders>
            <w:vAlign w:val="center"/>
          </w:tcPr>
          <w:p>
            <w:pPr>
              <w:autoSpaceDE/>
              <w:autoSpaceDN/>
              <w:ind w:firstLine="420" w:firstLineChars="200"/>
              <w:jc w:val="both"/>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宣传部</w:t>
            </w:r>
          </w:p>
          <w:p>
            <w:pPr>
              <w:autoSpaceDE/>
              <w:autoSpaceDN/>
              <w:ind w:firstLine="420" w:firstLineChars="200"/>
              <w:jc w:val="both"/>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585" w:type="dxa"/>
            <w:tcBorders>
              <w:bottom w:val="single" w:color="auto" w:sz="4" w:space="0"/>
              <w:right w:val="single" w:color="auto" w:sz="4" w:space="0"/>
            </w:tcBorders>
            <w:vAlign w:val="center"/>
          </w:tcPr>
          <w:p>
            <w:pPr>
              <w:numPr>
                <w:ilvl w:val="0"/>
                <w:numId w:val="0"/>
              </w:num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4</w:t>
            </w:r>
          </w:p>
        </w:tc>
        <w:tc>
          <w:tcPr>
            <w:tcW w:w="960"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asciiTheme="minorHAnsi" w:hAnsiTheme="minorHAnsi" w:eastAsiaTheme="minorEastAsia" w:cstheme="minorBidi"/>
                <w:kern w:val="2"/>
                <w:sz w:val="21"/>
                <w:szCs w:val="21"/>
              </w:rPr>
            </w:pPr>
          </w:p>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开展党史学习教育</w:t>
            </w:r>
          </w:p>
        </w:tc>
        <w:tc>
          <w:tcPr>
            <w:tcW w:w="572"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4</w:t>
            </w:r>
          </w:p>
        </w:tc>
        <w:tc>
          <w:tcPr>
            <w:tcW w:w="10363" w:type="dxa"/>
            <w:tcBorders>
              <w:top w:val="single" w:color="auto" w:sz="4" w:space="0"/>
              <w:left w:val="single" w:color="auto" w:sz="4" w:space="0"/>
              <w:bottom w:val="single" w:color="auto" w:sz="4" w:space="0"/>
              <w:right w:val="single" w:color="auto" w:sz="4" w:space="0"/>
            </w:tcBorders>
          </w:tcPr>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按照学校党委关于党史学习教育部署要求，认真学习习近平总书记在庆祝中国共产党成立100周年大会上的重要讲话精神，积极组织党员师生开展以党史学习教育为重点的“四史”教育，把学党史、悟思想、办实事、开新局贯穿学习教育全过程，认真开展“六专题一实践”活动，学习教育富有成效，根据学校党史学习教育领导小组办公室反馈情况进行综合计分，占4分。</w:t>
            </w:r>
          </w:p>
        </w:tc>
        <w:tc>
          <w:tcPr>
            <w:tcW w:w="1380" w:type="dxa"/>
            <w:tcBorders>
              <w:top w:val="single" w:color="auto" w:sz="4" w:space="0"/>
              <w:left w:val="single" w:color="auto" w:sz="4" w:space="0"/>
              <w:bottom w:val="single" w:color="auto" w:sz="4" w:space="0"/>
              <w:right w:val="single" w:color="auto" w:sz="4" w:space="0"/>
            </w:tcBorders>
            <w:vAlign w:val="center"/>
          </w:tcPr>
          <w:p>
            <w:pPr>
              <w:autoSpaceDE/>
              <w:autoSpaceDN/>
              <w:ind w:firstLine="420" w:firstLineChars="200"/>
              <w:jc w:val="both"/>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宣传部</w:t>
            </w:r>
          </w:p>
          <w:p>
            <w:pPr>
              <w:autoSpaceDE/>
              <w:autoSpaceDN/>
              <w:ind w:firstLine="420" w:firstLineChars="200"/>
              <w:jc w:val="both"/>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585" w:type="dxa"/>
            <w:tcBorders>
              <w:top w:val="single" w:color="auto" w:sz="4" w:space="0"/>
              <w:bottom w:val="single" w:color="auto" w:sz="4" w:space="0"/>
            </w:tcBorders>
            <w:vAlign w:val="center"/>
          </w:tcPr>
          <w:p>
            <w:pPr>
              <w:autoSpaceDE/>
              <w:autoSpaceDN/>
              <w:jc w:val="center"/>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5</w:t>
            </w:r>
          </w:p>
        </w:tc>
        <w:tc>
          <w:tcPr>
            <w:tcW w:w="960" w:type="dxa"/>
            <w:tcBorders>
              <w:top w:val="single" w:color="auto" w:sz="4" w:space="0"/>
            </w:tcBorders>
            <w:vAlign w:val="center"/>
          </w:tcPr>
          <w:p>
            <w:pPr>
              <w:autoSpaceDE/>
              <w:autoSpaceDN/>
              <w:jc w:val="both"/>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加强思想政治工作</w:t>
            </w:r>
          </w:p>
        </w:tc>
        <w:tc>
          <w:tcPr>
            <w:tcW w:w="572" w:type="dxa"/>
            <w:vAlign w:val="center"/>
          </w:tcPr>
          <w:p>
            <w:pPr>
              <w:autoSpaceDE/>
              <w:autoSpaceDN/>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rPr>
              <w:t>10</w:t>
            </w:r>
          </w:p>
        </w:tc>
        <w:tc>
          <w:tcPr>
            <w:tcW w:w="10363" w:type="dxa"/>
            <w:vAlign w:val="center"/>
          </w:tcPr>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1.认真组织开展师生政治学习，加强学生理想信念、社会主义核心价值观、诚信教育、校训校风教育，占2分。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2.健全立德树人落实机制，深化“三全育人”改革，构建“三全育人”工作新格局，校内外协同育人成效明显，占3分。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3.推动教师队伍思想政治工作和师德师风建设，每年开展活动不少于1次，占1分。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4.加强辅导员能力建设，做好学生心理健康教育服务，占1分。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5.加强学院文化建设，培育学院文化品牌，充分发挥文化育人作用，占1分。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6.重视新闻宣传工作，及时更新校园党建思政网，宣传工作成效显著，占2分。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教师出现师德师风方面问题扣2分，学生发生严重违纪问题并造成严重影响的，每一例扣0.5分。</w:t>
            </w:r>
          </w:p>
        </w:tc>
        <w:tc>
          <w:tcPr>
            <w:tcW w:w="1380" w:type="dxa"/>
            <w:vAlign w:val="center"/>
          </w:tcPr>
          <w:p>
            <w:pPr>
              <w:autoSpaceDE/>
              <w:autoSpaceDN/>
              <w:ind w:firstLine="420" w:firstLineChars="200"/>
              <w:jc w:val="both"/>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宣传部</w:t>
            </w:r>
          </w:p>
          <w:p>
            <w:pPr>
              <w:autoSpaceDE/>
              <w:autoSpaceDN/>
              <w:ind w:firstLine="420" w:firstLineChars="200"/>
              <w:jc w:val="both"/>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学工部</w:t>
            </w:r>
          </w:p>
          <w:p>
            <w:pPr>
              <w:autoSpaceDE/>
              <w:autoSpaceDN/>
              <w:ind w:firstLine="210" w:firstLineChars="100"/>
              <w:jc w:val="both"/>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教师工作部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585" w:type="dxa"/>
            <w:tcBorders>
              <w:top w:val="single" w:color="auto" w:sz="4" w:space="0"/>
              <w:bottom w:val="single" w:color="auto" w:sz="4" w:space="0"/>
            </w:tcBorders>
            <w:vAlign w:val="center"/>
          </w:tcPr>
          <w:p>
            <w:pPr>
              <w:autoSpaceDE/>
              <w:autoSpaceDN/>
              <w:jc w:val="center"/>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6</w:t>
            </w:r>
          </w:p>
        </w:tc>
        <w:tc>
          <w:tcPr>
            <w:tcW w:w="960" w:type="dxa"/>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落实意识形态工作责任</w:t>
            </w:r>
          </w:p>
        </w:tc>
        <w:tc>
          <w:tcPr>
            <w:tcW w:w="572" w:type="dxa"/>
            <w:vAlign w:val="center"/>
          </w:tcPr>
          <w:p>
            <w:pPr>
              <w:autoSpaceDE/>
              <w:autoSpaceDN/>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rPr>
              <w:t>10</w:t>
            </w:r>
          </w:p>
        </w:tc>
        <w:tc>
          <w:tcPr>
            <w:tcW w:w="10363" w:type="dxa"/>
          </w:tcPr>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1.落实意识形态工作政治责任和领导责任，落实意识形态专题学习研究、督查检查工作制度；按要求开展集中分析研判，定期报告分析研判情况，占4分。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2.积极开展意识形态安全教育，配合开展意识形态领域固本强基专项行动，认真做好本单位意识形态领域问题自查和整改工作，占2分。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3.加强意识形态队伍建设、网络及新媒体平台等阵地建设和管理，严格新闻宣传稿件审核，规范报告会、研讨会、讲座及论坛等活动的申报审批流程，全力维护意识形态安全，占4分。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分析研判每少1次扣0.5分，专项行动中问题梳理不全面、落实整改工作不到位视情况扣1-2分，意识形态工作发生负面影响事件应对处置不力的每发现一起视情况扣1-2分。</w:t>
            </w:r>
          </w:p>
        </w:tc>
        <w:tc>
          <w:tcPr>
            <w:tcW w:w="1380" w:type="dxa"/>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585"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E/>
              <w:autoSpaceDN/>
              <w:ind w:leftChars="0"/>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7</w:t>
            </w:r>
          </w:p>
        </w:tc>
        <w:tc>
          <w:tcPr>
            <w:tcW w:w="960" w:type="dxa"/>
            <w:tcBorders>
              <w:left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推进基层党组织和党员队伍建设</w:t>
            </w:r>
          </w:p>
        </w:tc>
        <w:tc>
          <w:tcPr>
            <w:tcW w:w="572" w:type="dxa"/>
            <w:vAlign w:val="center"/>
          </w:tcPr>
          <w:p>
            <w:pPr>
              <w:autoSpaceDE/>
              <w:autoSpaceDN/>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10</w:t>
            </w:r>
          </w:p>
        </w:tc>
        <w:tc>
          <w:tcPr>
            <w:tcW w:w="10363" w:type="dxa"/>
          </w:tcPr>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1.开展基层党建“规矩规范提升年”活动成效明显，提升组织力，党员记实管理与积分考核规范，占1分。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2.扎实推进基层党建“书记项目”、创新项目、党建与思政工作研究、智慧党建平台运用，占2分。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3.基层党建“标杆院系”“样板支部”通过校级验收，占1分。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4.标准党支部达100%、获评学校优质党支部、“双带头人”教师党支部书记达100%，占1.5分。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5.在优秀青年教师、高知识群体中发展党员成效明显，年度党员发展任务100%完成，党员发展工作规范，师生党员作用发挥好，占2分。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6.积极申报省高校党建工作创新奖、特色党支部、开展“双带头人”教师党支部书记工作室建设，占1.5分。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7.获得市厅级以上党内表彰的先进集体和个人分别计0.5、0.5分，最多不超过1分。</w:t>
            </w:r>
          </w:p>
        </w:tc>
        <w:tc>
          <w:tcPr>
            <w:tcW w:w="1380" w:type="dxa"/>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85" w:type="dxa"/>
            <w:tcBorders>
              <w:top w:val="single" w:color="auto" w:sz="4" w:space="0"/>
              <w:left w:val="single" w:color="auto" w:sz="4" w:space="0"/>
              <w:bottom w:val="single" w:color="auto" w:sz="4" w:space="0"/>
              <w:right w:val="single" w:color="auto" w:sz="4" w:space="0"/>
            </w:tcBorders>
            <w:vAlign w:val="center"/>
          </w:tcPr>
          <w:p>
            <w:pPr>
              <w:autoSpaceDE/>
              <w:autoSpaceDN/>
              <w:jc w:val="center"/>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8</w:t>
            </w:r>
          </w:p>
        </w:tc>
        <w:tc>
          <w:tcPr>
            <w:tcW w:w="960" w:type="dxa"/>
            <w:tcBorders>
              <w:left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加强干部人才队伍建设</w:t>
            </w:r>
          </w:p>
        </w:tc>
        <w:tc>
          <w:tcPr>
            <w:tcW w:w="572" w:type="dxa"/>
            <w:vAlign w:val="center"/>
          </w:tcPr>
          <w:p>
            <w:pPr>
              <w:autoSpaceDE/>
              <w:autoSpaceDN/>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rPr>
              <w:t>6</w:t>
            </w:r>
          </w:p>
        </w:tc>
        <w:tc>
          <w:tcPr>
            <w:tcW w:w="10363" w:type="dxa"/>
          </w:tcPr>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1.发挥党总支在干部队伍建设中的主导作用，重视优秀年轻干部队伍建设，加大内设机构和基层党团组织负责人教育培养管理力度，占2分。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2.加强师资队伍建设，高层次人才和专业带头人引培成效明显，占2分。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3.严格干部日常监督管理，严格执行从严管理干部规定和重大事项请示报告制度，认真做好本单位干部人事档案资料的收集归档工作，占2分。</w:t>
            </w:r>
          </w:p>
        </w:tc>
        <w:tc>
          <w:tcPr>
            <w:tcW w:w="1380" w:type="dxa"/>
            <w:vAlign w:val="center"/>
          </w:tcPr>
          <w:p>
            <w:pPr>
              <w:autoSpaceDE/>
              <w:autoSpaceDN/>
              <w:jc w:val="center"/>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组织部</w:t>
            </w:r>
          </w:p>
          <w:p>
            <w:pPr>
              <w:autoSpaceDE/>
              <w:autoSpaceDN/>
              <w:jc w:val="center"/>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人力资源处</w:t>
            </w:r>
          </w:p>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585" w:type="dxa"/>
            <w:tcBorders>
              <w:top w:val="single" w:color="auto" w:sz="4" w:space="0"/>
              <w:bottom w:val="single" w:color="auto" w:sz="4" w:space="0"/>
            </w:tcBorders>
            <w:vAlign w:val="center"/>
          </w:tcPr>
          <w:p>
            <w:pPr>
              <w:autoSpaceDE/>
              <w:autoSpaceDN/>
              <w:jc w:val="center"/>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9</w:t>
            </w:r>
          </w:p>
        </w:tc>
        <w:tc>
          <w:tcPr>
            <w:tcW w:w="960" w:type="dxa"/>
            <w:tcBorders>
              <w:top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推进全面从严治党，履行党建工作责任</w:t>
            </w:r>
          </w:p>
        </w:tc>
        <w:tc>
          <w:tcPr>
            <w:tcW w:w="572" w:type="dxa"/>
            <w:vAlign w:val="center"/>
          </w:tcPr>
          <w:p>
            <w:pPr>
              <w:autoSpaceDE/>
              <w:autoSpaceDN/>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8</w:t>
            </w:r>
          </w:p>
        </w:tc>
        <w:tc>
          <w:tcPr>
            <w:tcW w:w="10363" w:type="dxa"/>
          </w:tcPr>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1.落实全面从严治党责任，党总支书记履行“第一责任人”责任，班子其他成员履行“一岗双责”，占2分。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2.严格执行中央八项规定及其实施细则精神，深化作风建设，持续整治形式主义、官僚主义，占2分。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3.认真落实党组织书记党建工作责任清单，促进党建与业务工作融合发展，推进党建工作创先创优，打造优秀党建成果和优质党课，落实党总支书记履行党建工作责任述职，开展党支部书记抓基层党建述职评议，占4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出现违反中央八项规定及其实施细则精神，以形式主义、官僚主义对待师生诉求反映的，或因“四风”问题造成不良影响的，每发现1起视情况扣1-2分。</w:t>
            </w:r>
          </w:p>
        </w:tc>
        <w:tc>
          <w:tcPr>
            <w:tcW w:w="1380" w:type="dxa"/>
            <w:vAlign w:val="center"/>
          </w:tcPr>
          <w:p>
            <w:pPr>
              <w:autoSpaceDE/>
              <w:autoSpaceDN/>
              <w:jc w:val="center"/>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办公室</w:t>
            </w:r>
          </w:p>
          <w:p>
            <w:pPr>
              <w:autoSpaceDE/>
              <w:autoSpaceDN/>
              <w:jc w:val="center"/>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纪委办</w:t>
            </w:r>
          </w:p>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组织部</w:t>
            </w:r>
          </w:p>
          <w:p>
            <w:pPr>
              <w:autoSpaceDE/>
              <w:autoSpaceDN/>
              <w:jc w:val="center"/>
              <w:rPr>
                <w:rFonts w:hint="default" w:asciiTheme="minorHAnsi" w:hAnsiTheme="minorHAnsi" w:eastAsiaTheme="minorEastAsia" w:cstheme="minorBidi"/>
                <w:kern w:val="2"/>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3" w:hRule="atLeast"/>
        </w:trPr>
        <w:tc>
          <w:tcPr>
            <w:tcW w:w="585" w:type="dxa"/>
            <w:tcBorders>
              <w:top w:val="single" w:color="auto" w:sz="4" w:space="0"/>
              <w:bottom w:val="single" w:color="auto" w:sz="4" w:space="0"/>
            </w:tcBorders>
            <w:vAlign w:val="center"/>
          </w:tcPr>
          <w:p>
            <w:pPr>
              <w:numPr>
                <w:ilvl w:val="0"/>
                <w:numId w:val="0"/>
              </w:numPr>
              <w:autoSpaceDE/>
              <w:autoSpaceDN/>
              <w:ind w:leftChars="0"/>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10</w:t>
            </w:r>
          </w:p>
        </w:tc>
        <w:tc>
          <w:tcPr>
            <w:tcW w:w="960" w:type="dxa"/>
            <w:tcBorders>
              <w:bottom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加强党风廉政建设</w:t>
            </w:r>
          </w:p>
        </w:tc>
        <w:tc>
          <w:tcPr>
            <w:tcW w:w="572" w:type="dxa"/>
            <w:vAlign w:val="center"/>
          </w:tcPr>
          <w:p>
            <w:pPr>
              <w:autoSpaceDE/>
              <w:autoSpaceDN/>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6</w:t>
            </w:r>
          </w:p>
        </w:tc>
        <w:tc>
          <w:tcPr>
            <w:tcW w:w="10363" w:type="dxa"/>
          </w:tcPr>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1.落实党风廉政建设责任，每学期至少专题研究党风廉政建设工作1次，党政主要负责人及纪检委员每年向校纪委述责述廉1次，占2分。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2.开展廉政风险点排查，健全廉政风险防控机制，占1分。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3.做好巡视巡察、内部审计监督发现问题整改，占2分。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4..经常对党员进行纪律教育，对班子成员、支部书记和内设机构负责人开展廉政谈话和履职监督，占1分。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对受到处理处分人员未进行回访和正面引导的，每起扣0.5 分。</w:t>
            </w:r>
          </w:p>
        </w:tc>
        <w:tc>
          <w:tcPr>
            <w:tcW w:w="1380" w:type="dxa"/>
            <w:vAlign w:val="center"/>
          </w:tcPr>
          <w:p>
            <w:pPr>
              <w:autoSpaceDE/>
              <w:autoSpaceDN/>
              <w:jc w:val="center"/>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纪委办</w:t>
            </w:r>
          </w:p>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执纪审查处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4" w:hRule="atLeast"/>
        </w:trPr>
        <w:tc>
          <w:tcPr>
            <w:tcW w:w="585" w:type="dxa"/>
            <w:tcBorders>
              <w:top w:val="single" w:color="auto" w:sz="4" w:space="0"/>
              <w:bottom w:val="single" w:color="auto" w:sz="4" w:space="0"/>
            </w:tcBorders>
            <w:vAlign w:val="center"/>
          </w:tcPr>
          <w:p>
            <w:pPr>
              <w:numPr>
                <w:ilvl w:val="0"/>
                <w:numId w:val="0"/>
              </w:numPr>
              <w:autoSpaceDE/>
              <w:autoSpaceDN/>
              <w:ind w:leftChars="0"/>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11</w:t>
            </w:r>
          </w:p>
        </w:tc>
        <w:tc>
          <w:tcPr>
            <w:tcW w:w="960" w:type="dxa"/>
            <w:tcBorders>
              <w:top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推进依法治理，加强民主管理</w:t>
            </w:r>
          </w:p>
        </w:tc>
        <w:tc>
          <w:tcPr>
            <w:tcW w:w="572" w:type="dxa"/>
            <w:vAlign w:val="center"/>
          </w:tcPr>
          <w:p>
            <w:pPr>
              <w:autoSpaceDE/>
              <w:autoSpaceDN/>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6</w:t>
            </w:r>
          </w:p>
        </w:tc>
        <w:tc>
          <w:tcPr>
            <w:tcW w:w="10363" w:type="dxa"/>
          </w:tcPr>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1.健全完善本单位各项管理规定，依法依规开展招生宣传、教育教学和学生管理等各类办学活动，占1分。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2.不断深化师生法治教育，按要求部署开展“学宪法讲宪法”等法治宣传教育活动，占1分。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3.落实领导班子成员联系基层、联系学生、听课评课等制度，占1分。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4.定期召开教授委员会，发挥教授委员会作用，占1分。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5.支持分工会独立开展工作，依法保障教职工民主权利，及时解决师生反映强烈的问题，占1分。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6.做好共青团工作，加强团员共青团基本知识教育培训，发挥团组织在团员教育、管理、服务、推优等工作中的作用，加强学生会、学生社团建设，有力推动活动开展，占1分。</w:t>
            </w:r>
          </w:p>
        </w:tc>
        <w:tc>
          <w:tcPr>
            <w:tcW w:w="1380" w:type="dxa"/>
            <w:vAlign w:val="center"/>
          </w:tcPr>
          <w:p>
            <w:pPr>
              <w:autoSpaceDE/>
              <w:autoSpaceDN/>
              <w:jc w:val="center"/>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宣传部</w:t>
            </w:r>
          </w:p>
          <w:p>
            <w:pPr>
              <w:autoSpaceDE/>
              <w:autoSpaceDN/>
              <w:jc w:val="center"/>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办公室</w:t>
            </w:r>
          </w:p>
          <w:p>
            <w:pPr>
              <w:autoSpaceDE/>
              <w:autoSpaceDN/>
              <w:jc w:val="center"/>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工会</w:t>
            </w:r>
          </w:p>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团委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585" w:type="dxa"/>
            <w:tcBorders>
              <w:top w:val="single" w:color="auto" w:sz="4" w:space="0"/>
              <w:bottom w:val="single" w:color="auto" w:sz="4" w:space="0"/>
            </w:tcBorders>
            <w:vAlign w:val="center"/>
          </w:tcPr>
          <w:p>
            <w:pPr>
              <w:numPr>
                <w:ilvl w:val="0"/>
                <w:numId w:val="0"/>
              </w:numPr>
              <w:autoSpaceDE/>
              <w:autoSpaceDN/>
              <w:ind w:leftChars="0"/>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12</w:t>
            </w:r>
          </w:p>
        </w:tc>
        <w:tc>
          <w:tcPr>
            <w:tcW w:w="960" w:type="dxa"/>
            <w:tcBorders>
              <w:top w:val="single" w:color="auto" w:sz="4" w:space="0"/>
            </w:tcBorders>
            <w:vAlign w:val="center"/>
          </w:tcPr>
          <w:p>
            <w:pPr>
              <w:autoSpaceDE/>
              <w:autoSpaceDN/>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rPr>
              <w:t>做好统一战线工作</w:t>
            </w:r>
          </w:p>
        </w:tc>
        <w:tc>
          <w:tcPr>
            <w:tcW w:w="572" w:type="dxa"/>
            <w:tcBorders>
              <w:top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6</w:t>
            </w:r>
          </w:p>
        </w:tc>
        <w:tc>
          <w:tcPr>
            <w:tcW w:w="10363" w:type="dxa"/>
            <w:tcBorders>
              <w:top w:val="single" w:color="auto" w:sz="4" w:space="0"/>
            </w:tcBorders>
            <w:vAlign w:val="top"/>
          </w:tcPr>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1.加强统战工作领导，落实统战工作责任和统战工作部署要求，占1分。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2.健全党外知识分子思想政治引领长效机制，完善教育培训、座谈交流等制度，占1分。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3.做好党外知识分子、出国和归国留学人员等统战工作，同党外人士联谊交友、征求意见建议、通报情况、支持党外人士发挥作用，占2分。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4.重视民族宗教工作，开展民族团结进步教育，关心少数民族师生，做好抵御和防范宗教渗透工作，占2分。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民族、宗教突发事件处置不力造成严重影响的，每发现1起扣1分。</w:t>
            </w:r>
          </w:p>
        </w:tc>
        <w:tc>
          <w:tcPr>
            <w:tcW w:w="1380" w:type="dxa"/>
            <w:tcBorders>
              <w:top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统战部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585" w:type="dxa"/>
            <w:tcBorders>
              <w:top w:val="single" w:color="auto" w:sz="4" w:space="0"/>
              <w:bottom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13</w:t>
            </w:r>
          </w:p>
        </w:tc>
        <w:tc>
          <w:tcPr>
            <w:tcW w:w="960" w:type="dxa"/>
            <w:vAlign w:val="center"/>
          </w:tcPr>
          <w:p>
            <w:pPr>
              <w:autoSpaceDE/>
              <w:autoSpaceDN/>
              <w:jc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highlight w:val="none"/>
                <w:lang w:val="en-US" w:eastAsia="zh-CN"/>
              </w:rPr>
              <w:t>维护校园安全稳定</w:t>
            </w:r>
          </w:p>
        </w:tc>
        <w:tc>
          <w:tcPr>
            <w:tcW w:w="572" w:type="dxa"/>
            <w:vAlign w:val="center"/>
          </w:tcPr>
          <w:p>
            <w:pPr>
              <w:autoSpaceDE/>
              <w:autoSpaceDN/>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6</w:t>
            </w:r>
          </w:p>
        </w:tc>
        <w:tc>
          <w:tcPr>
            <w:tcW w:w="10363" w:type="dxa"/>
          </w:tcPr>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1.健全安全责任体系和工作机制，完善安全管理制度，落实网络安全责任制，构建安全管理长效机制，占2分。</w:t>
            </w:r>
          </w:p>
          <w:p>
            <w:pPr>
              <w:numPr>
                <w:ilvl w:val="0"/>
                <w:numId w:val="0"/>
              </w:numPr>
              <w:autoSpaceDE/>
              <w:autoSpaceDN/>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2.加强安全教育，组织开展应急演练和实践活动；开展安全检查和隐患排查整改，推进安全专项整治，占2分。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3.做好常态化疫情防控工作，防控措施落实、安全管理到位，占2分。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因发生重大案件、事件或重大责任事故等，造成严重影响的，此项不得分。</w:t>
            </w:r>
          </w:p>
        </w:tc>
        <w:tc>
          <w:tcPr>
            <w:tcW w:w="1380" w:type="dxa"/>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保卫部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585" w:type="dxa"/>
            <w:tcBorders>
              <w:top w:val="single" w:color="auto" w:sz="4" w:space="0"/>
              <w:bottom w:val="single" w:color="auto" w:sz="4" w:space="0"/>
            </w:tcBorders>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14</w:t>
            </w:r>
          </w:p>
        </w:tc>
        <w:tc>
          <w:tcPr>
            <w:tcW w:w="960" w:type="dxa"/>
            <w:vAlign w:val="center"/>
          </w:tcPr>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综合项目</w:t>
            </w:r>
          </w:p>
        </w:tc>
        <w:tc>
          <w:tcPr>
            <w:tcW w:w="572" w:type="dxa"/>
            <w:vAlign w:val="center"/>
          </w:tcPr>
          <w:p>
            <w:pPr>
              <w:autoSpaceDE/>
              <w:autoSpaceDN/>
              <w:jc w:val="center"/>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10</w:t>
            </w:r>
          </w:p>
        </w:tc>
        <w:tc>
          <w:tcPr>
            <w:tcW w:w="10363" w:type="dxa"/>
            <w:vAlign w:val="top"/>
          </w:tcPr>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1.总结报告全年工作，重点汇报发挥党总支的政治核心作用，团结带领学院师生，贯彻执行党的教育方针和政策，落实学校党政决策部署，全面推进学院高质量发展等情况，包括党组织在落实全国职业教育大会精神、职业教育质量提升行动计划、高水平学校与专业群建设等年度重点工作中作用发挥等，占5分。</w:t>
            </w:r>
          </w:p>
          <w:p>
            <w:pPr>
              <w:numPr>
                <w:ilvl w:val="0"/>
                <w:numId w:val="0"/>
              </w:numPr>
              <w:autoSpaceDE/>
              <w:autoSpaceDN/>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2.围绕服务学校“高质量发展”，在立德树人、党建和思政工作创新、文化传承创新等方面的特色亮点和突出成效，占5分。</w:t>
            </w:r>
          </w:p>
        </w:tc>
        <w:tc>
          <w:tcPr>
            <w:tcW w:w="1380" w:type="dxa"/>
            <w:vAlign w:val="center"/>
          </w:tcPr>
          <w:p>
            <w:pPr>
              <w:autoSpaceDE/>
              <w:autoSpaceDN/>
              <w:jc w:val="center"/>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组织部</w:t>
            </w:r>
          </w:p>
          <w:p>
            <w:pPr>
              <w:autoSpaceDE/>
              <w:autoSpaceDN/>
              <w:jc w:val="center"/>
              <w:rPr>
                <w:rFonts w:hint="eastAsia"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宣传部</w:t>
            </w:r>
          </w:p>
          <w:p>
            <w:pPr>
              <w:autoSpaceDE/>
              <w:autoSpaceDN/>
              <w:jc w:val="center"/>
              <w:rPr>
                <w:rFonts w:hint="default" w:asciiTheme="minorHAnsi" w:hAnsiTheme="minorHAnsi" w:eastAsiaTheme="minorEastAsia" w:cstheme="minorBidi"/>
                <w:kern w:val="2"/>
                <w:sz w:val="21"/>
                <w:szCs w:val="21"/>
                <w:lang w:val="en-US" w:eastAsia="zh-CN"/>
              </w:rPr>
            </w:pPr>
            <w:r>
              <w:rPr>
                <w:rFonts w:hint="eastAsia" w:asciiTheme="minorHAnsi" w:hAnsiTheme="minorHAnsi" w:eastAsiaTheme="minorEastAsia" w:cstheme="minorBidi"/>
                <w:kern w:val="2"/>
                <w:sz w:val="21"/>
                <w:szCs w:val="21"/>
                <w:lang w:val="en-US" w:eastAsia="zh-CN"/>
              </w:rPr>
              <w:t>办公室</w:t>
            </w:r>
          </w:p>
        </w:tc>
      </w:tr>
    </w:tbl>
    <w:p>
      <w:pPr>
        <w:autoSpaceDE/>
        <w:autoSpaceDN/>
        <w:jc w:val="both"/>
        <w:rPr>
          <w:rFonts w:asciiTheme="minorHAnsi" w:hAnsiTheme="minorHAnsi" w:eastAsiaTheme="minorEastAsia" w:cstheme="minorBidi"/>
          <w:kern w:val="2"/>
          <w:sz w:val="21"/>
          <w:szCs w:val="21"/>
        </w:rPr>
      </w:pPr>
    </w:p>
    <w:p>
      <w:pPr>
        <w:autoSpaceDE/>
        <w:autoSpaceDN/>
        <w:jc w:val="both"/>
        <w:rPr>
          <w:rFonts w:asciiTheme="minorHAnsi" w:hAnsiTheme="minorHAnsi" w:eastAsiaTheme="minorEastAsia" w:cstheme="minorBidi"/>
          <w:kern w:val="2"/>
          <w:sz w:val="21"/>
          <w:szCs w:val="21"/>
        </w:rPr>
      </w:pPr>
    </w:p>
    <w:p>
      <w:pPr>
        <w:pStyle w:val="5"/>
        <w:spacing w:before="21"/>
        <w:rPr>
          <w:rFonts w:hint="default" w:ascii="Times New Roman" w:hAnsi="Times New Roman" w:eastAsia="宋体" w:cs="Times New Roman"/>
          <w:sz w:val="24"/>
          <w:szCs w:val="24"/>
          <w:lang w:val="en-US" w:eastAsia="zh-CN"/>
        </w:rPr>
      </w:pPr>
    </w:p>
    <w:sectPr>
      <w:footerReference r:id="rId3" w:type="default"/>
      <w:footerReference r:id="rId4" w:type="even"/>
      <w:pgSz w:w="16840" w:h="11910" w:orient="landscape"/>
      <w:pgMar w:top="1100" w:right="1840" w:bottom="1220" w:left="1760" w:header="0" w:footer="10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CJK JP Medium">
    <w:altName w:val="Segoe Print"/>
    <w:panose1 w:val="00000000000000000000"/>
    <w:charset w:val="00"/>
    <w:family w:val="roman"/>
    <w:pitch w:val="default"/>
    <w:sig w:usb0="00000000" w:usb1="00000000" w:usb2="00000000" w:usb3="00000000" w:csb0="00000000" w:csb1="00000000"/>
  </w:font>
  <w:font w:name="UmePlus P Gothic">
    <w:altName w:val="Segoe Print"/>
    <w:panose1 w:val="00000000000000000000"/>
    <w:charset w:val="00"/>
    <w:family w:val="auto"/>
    <w:pitch w:val="default"/>
    <w:sig w:usb0="00000000" w:usb1="00000000" w:usb2="00000000" w:usb3="00000000" w:csb0="0000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3076" o:spid="_x0000_s3076" o:spt="202" type="#_x0000_t202" style="position:absolute;left:0pt;margin-left:682.95pt;margin-top:528.45pt;height:16.05pt;width:37.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7</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3077" o:spid="_x0000_s3077" o:spt="202" type="#_x0000_t202" style="position:absolute;left:0pt;margin-left:116.2pt;margin-top:528.45pt;height:16.05pt;width:37.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321" w:lineRule="exact"/>
                  <w:rPr>
                    <w:sz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3"/>
    </o:shapelayout>
  </w:hdrShapeDefaults>
  <w:compat>
    <w:ulTrailSpace/>
    <w:shapeLayoutLikeWW8/>
    <w:useFELayout/>
    <w:compatSetting w:name="compatibilityMode" w:uri="http://schemas.microsoft.com/office/word" w:val="12"/>
  </w:compat>
  <w:rsids>
    <w:rsidRoot w:val="00AB2B20"/>
    <w:rsid w:val="00046853"/>
    <w:rsid w:val="00046E3F"/>
    <w:rsid w:val="000E180A"/>
    <w:rsid w:val="00134C52"/>
    <w:rsid w:val="002370B8"/>
    <w:rsid w:val="00296648"/>
    <w:rsid w:val="002D229C"/>
    <w:rsid w:val="003466A4"/>
    <w:rsid w:val="00375F09"/>
    <w:rsid w:val="003A0757"/>
    <w:rsid w:val="00403B45"/>
    <w:rsid w:val="004A13B6"/>
    <w:rsid w:val="004C7475"/>
    <w:rsid w:val="004F5CA7"/>
    <w:rsid w:val="006A5BD4"/>
    <w:rsid w:val="00734014"/>
    <w:rsid w:val="0095005A"/>
    <w:rsid w:val="009913A8"/>
    <w:rsid w:val="00A3245A"/>
    <w:rsid w:val="00A750D5"/>
    <w:rsid w:val="00AB2B20"/>
    <w:rsid w:val="00B54824"/>
    <w:rsid w:val="00BB572D"/>
    <w:rsid w:val="00C71444"/>
    <w:rsid w:val="00CC64DF"/>
    <w:rsid w:val="00FF6295"/>
    <w:rsid w:val="023C3A74"/>
    <w:rsid w:val="023F4352"/>
    <w:rsid w:val="02867F8D"/>
    <w:rsid w:val="02A8421F"/>
    <w:rsid w:val="02D42C19"/>
    <w:rsid w:val="02E4206A"/>
    <w:rsid w:val="031D281B"/>
    <w:rsid w:val="033A6977"/>
    <w:rsid w:val="03A469E0"/>
    <w:rsid w:val="045C0B11"/>
    <w:rsid w:val="04CB4E74"/>
    <w:rsid w:val="058715CE"/>
    <w:rsid w:val="05D833B3"/>
    <w:rsid w:val="060F301B"/>
    <w:rsid w:val="061427AB"/>
    <w:rsid w:val="069E5802"/>
    <w:rsid w:val="0721214D"/>
    <w:rsid w:val="0724697D"/>
    <w:rsid w:val="07685903"/>
    <w:rsid w:val="07EE18B8"/>
    <w:rsid w:val="08030C9C"/>
    <w:rsid w:val="087A3398"/>
    <w:rsid w:val="08961EA2"/>
    <w:rsid w:val="08CD5BD3"/>
    <w:rsid w:val="090A18F7"/>
    <w:rsid w:val="094F341A"/>
    <w:rsid w:val="097300AB"/>
    <w:rsid w:val="0A1408F1"/>
    <w:rsid w:val="0B2A6D3B"/>
    <w:rsid w:val="0BD50D32"/>
    <w:rsid w:val="0C532960"/>
    <w:rsid w:val="0C924814"/>
    <w:rsid w:val="0CA52229"/>
    <w:rsid w:val="0D1F36BE"/>
    <w:rsid w:val="0D6738EA"/>
    <w:rsid w:val="0DAF2C3C"/>
    <w:rsid w:val="0DE06E83"/>
    <w:rsid w:val="0E772330"/>
    <w:rsid w:val="0E8E2290"/>
    <w:rsid w:val="0EFF648D"/>
    <w:rsid w:val="0F022442"/>
    <w:rsid w:val="0FF139C5"/>
    <w:rsid w:val="104B356B"/>
    <w:rsid w:val="10B038B4"/>
    <w:rsid w:val="10DD7A3F"/>
    <w:rsid w:val="113B7363"/>
    <w:rsid w:val="11773DB8"/>
    <w:rsid w:val="1191398B"/>
    <w:rsid w:val="11B422B5"/>
    <w:rsid w:val="12A0744B"/>
    <w:rsid w:val="12B359C3"/>
    <w:rsid w:val="13AC5F6C"/>
    <w:rsid w:val="14494011"/>
    <w:rsid w:val="150822DB"/>
    <w:rsid w:val="15402156"/>
    <w:rsid w:val="179060E1"/>
    <w:rsid w:val="17F25EEA"/>
    <w:rsid w:val="1828131A"/>
    <w:rsid w:val="1849630D"/>
    <w:rsid w:val="18B725D8"/>
    <w:rsid w:val="18DC7B8C"/>
    <w:rsid w:val="196678A7"/>
    <w:rsid w:val="197816A6"/>
    <w:rsid w:val="19AF2D08"/>
    <w:rsid w:val="19FB0312"/>
    <w:rsid w:val="1A794EFA"/>
    <w:rsid w:val="1A7E0361"/>
    <w:rsid w:val="1AB826E5"/>
    <w:rsid w:val="1AD50FAF"/>
    <w:rsid w:val="1BD25CDF"/>
    <w:rsid w:val="1BDF61B4"/>
    <w:rsid w:val="1C470C76"/>
    <w:rsid w:val="1C574565"/>
    <w:rsid w:val="1C7677BA"/>
    <w:rsid w:val="1CF87393"/>
    <w:rsid w:val="1D416AF2"/>
    <w:rsid w:val="1DFB5EAC"/>
    <w:rsid w:val="1EA374B4"/>
    <w:rsid w:val="1EFD7B0A"/>
    <w:rsid w:val="1F0633EC"/>
    <w:rsid w:val="1F2B0149"/>
    <w:rsid w:val="1F2D7E30"/>
    <w:rsid w:val="1F975E85"/>
    <w:rsid w:val="209E0480"/>
    <w:rsid w:val="215500F2"/>
    <w:rsid w:val="216E0A66"/>
    <w:rsid w:val="218D1EEA"/>
    <w:rsid w:val="21C73916"/>
    <w:rsid w:val="22CA6DB2"/>
    <w:rsid w:val="23356124"/>
    <w:rsid w:val="239B6A1D"/>
    <w:rsid w:val="23FA2B47"/>
    <w:rsid w:val="24CF5318"/>
    <w:rsid w:val="256B03EC"/>
    <w:rsid w:val="25834148"/>
    <w:rsid w:val="25A64131"/>
    <w:rsid w:val="25C014D8"/>
    <w:rsid w:val="25FC64E1"/>
    <w:rsid w:val="26675B5D"/>
    <w:rsid w:val="26853494"/>
    <w:rsid w:val="26C3046A"/>
    <w:rsid w:val="26D530D4"/>
    <w:rsid w:val="270214C0"/>
    <w:rsid w:val="277A4C81"/>
    <w:rsid w:val="27B932FC"/>
    <w:rsid w:val="28351B61"/>
    <w:rsid w:val="28E97131"/>
    <w:rsid w:val="2901610E"/>
    <w:rsid w:val="29121B6A"/>
    <w:rsid w:val="2925359B"/>
    <w:rsid w:val="293302CF"/>
    <w:rsid w:val="29A143AA"/>
    <w:rsid w:val="29AE7DC4"/>
    <w:rsid w:val="2A7B3748"/>
    <w:rsid w:val="2AD5793C"/>
    <w:rsid w:val="2B417E52"/>
    <w:rsid w:val="2B4675A1"/>
    <w:rsid w:val="2B734909"/>
    <w:rsid w:val="2B8330EF"/>
    <w:rsid w:val="2C9F4EBD"/>
    <w:rsid w:val="2CF673E4"/>
    <w:rsid w:val="2D073035"/>
    <w:rsid w:val="2D716A33"/>
    <w:rsid w:val="2D9A7B00"/>
    <w:rsid w:val="2DCA02B6"/>
    <w:rsid w:val="2DCB2C52"/>
    <w:rsid w:val="2E0F2C88"/>
    <w:rsid w:val="2E7F3582"/>
    <w:rsid w:val="2EBD5F87"/>
    <w:rsid w:val="2F9D525D"/>
    <w:rsid w:val="2FB5721D"/>
    <w:rsid w:val="2FBE03D6"/>
    <w:rsid w:val="2FF05F3D"/>
    <w:rsid w:val="30CA4EC3"/>
    <w:rsid w:val="312F133E"/>
    <w:rsid w:val="32132CBF"/>
    <w:rsid w:val="32530E91"/>
    <w:rsid w:val="32547BBA"/>
    <w:rsid w:val="33231731"/>
    <w:rsid w:val="340E20C4"/>
    <w:rsid w:val="345837B5"/>
    <w:rsid w:val="34A26F4C"/>
    <w:rsid w:val="35A61928"/>
    <w:rsid w:val="360E538F"/>
    <w:rsid w:val="36ED522C"/>
    <w:rsid w:val="36FC2DD0"/>
    <w:rsid w:val="370E77B8"/>
    <w:rsid w:val="37BC2142"/>
    <w:rsid w:val="390A41FB"/>
    <w:rsid w:val="395360CF"/>
    <w:rsid w:val="39677A3C"/>
    <w:rsid w:val="399C7FF6"/>
    <w:rsid w:val="3B023786"/>
    <w:rsid w:val="3B43632E"/>
    <w:rsid w:val="3BA15990"/>
    <w:rsid w:val="3C1A6572"/>
    <w:rsid w:val="3CD13274"/>
    <w:rsid w:val="3D57584C"/>
    <w:rsid w:val="3D883BE4"/>
    <w:rsid w:val="3DA47F54"/>
    <w:rsid w:val="3DE27682"/>
    <w:rsid w:val="3EA93F6F"/>
    <w:rsid w:val="3F1A172A"/>
    <w:rsid w:val="3F6968A9"/>
    <w:rsid w:val="3FC77D40"/>
    <w:rsid w:val="3FEE08E2"/>
    <w:rsid w:val="406F2F3F"/>
    <w:rsid w:val="40D257EC"/>
    <w:rsid w:val="41451F6E"/>
    <w:rsid w:val="41C10176"/>
    <w:rsid w:val="41ED5CC7"/>
    <w:rsid w:val="420A4817"/>
    <w:rsid w:val="4219691F"/>
    <w:rsid w:val="421A1D13"/>
    <w:rsid w:val="42792BDF"/>
    <w:rsid w:val="42A42A74"/>
    <w:rsid w:val="42BA7B57"/>
    <w:rsid w:val="42BC524A"/>
    <w:rsid w:val="442E75AF"/>
    <w:rsid w:val="44696A43"/>
    <w:rsid w:val="446E4B73"/>
    <w:rsid w:val="44ED71EF"/>
    <w:rsid w:val="44F90D68"/>
    <w:rsid w:val="45104835"/>
    <w:rsid w:val="45141199"/>
    <w:rsid w:val="451F3026"/>
    <w:rsid w:val="4532192F"/>
    <w:rsid w:val="47566B0D"/>
    <w:rsid w:val="47CC46D7"/>
    <w:rsid w:val="47D731C4"/>
    <w:rsid w:val="482869AD"/>
    <w:rsid w:val="485208C0"/>
    <w:rsid w:val="496418AC"/>
    <w:rsid w:val="49975100"/>
    <w:rsid w:val="4A6C127D"/>
    <w:rsid w:val="4A980E4A"/>
    <w:rsid w:val="4BB15A5F"/>
    <w:rsid w:val="4C0A6283"/>
    <w:rsid w:val="4CA50895"/>
    <w:rsid w:val="4D015305"/>
    <w:rsid w:val="4D3C7FC3"/>
    <w:rsid w:val="4E9A6EFD"/>
    <w:rsid w:val="4F1B1FA3"/>
    <w:rsid w:val="4F674370"/>
    <w:rsid w:val="50075FB0"/>
    <w:rsid w:val="5017766F"/>
    <w:rsid w:val="50F00F07"/>
    <w:rsid w:val="511840DC"/>
    <w:rsid w:val="523B60B2"/>
    <w:rsid w:val="526E623C"/>
    <w:rsid w:val="529D3879"/>
    <w:rsid w:val="53FD70EB"/>
    <w:rsid w:val="54760261"/>
    <w:rsid w:val="54893481"/>
    <w:rsid w:val="54C9739C"/>
    <w:rsid w:val="54D80128"/>
    <w:rsid w:val="561867DD"/>
    <w:rsid w:val="563D6791"/>
    <w:rsid w:val="569B42DA"/>
    <w:rsid w:val="56A50E9F"/>
    <w:rsid w:val="57146786"/>
    <w:rsid w:val="571D5EDF"/>
    <w:rsid w:val="572C4787"/>
    <w:rsid w:val="57481228"/>
    <w:rsid w:val="57861875"/>
    <w:rsid w:val="579F7FFF"/>
    <w:rsid w:val="57C53BD1"/>
    <w:rsid w:val="58151052"/>
    <w:rsid w:val="58246BE7"/>
    <w:rsid w:val="58593BFC"/>
    <w:rsid w:val="58B21B03"/>
    <w:rsid w:val="58CC729E"/>
    <w:rsid w:val="599C1915"/>
    <w:rsid w:val="5A1A5874"/>
    <w:rsid w:val="5A342D1B"/>
    <w:rsid w:val="5AFE00F9"/>
    <w:rsid w:val="5B2F49AE"/>
    <w:rsid w:val="5B386811"/>
    <w:rsid w:val="5BA44996"/>
    <w:rsid w:val="5BD8135B"/>
    <w:rsid w:val="5C197162"/>
    <w:rsid w:val="5C784366"/>
    <w:rsid w:val="5CA03491"/>
    <w:rsid w:val="5CD15C2B"/>
    <w:rsid w:val="5D2C02B5"/>
    <w:rsid w:val="5D426A9C"/>
    <w:rsid w:val="5D481523"/>
    <w:rsid w:val="5DC31754"/>
    <w:rsid w:val="5E430CF0"/>
    <w:rsid w:val="5E7F1E31"/>
    <w:rsid w:val="5EC05B37"/>
    <w:rsid w:val="5FB75E88"/>
    <w:rsid w:val="60005F2D"/>
    <w:rsid w:val="61072105"/>
    <w:rsid w:val="61244C17"/>
    <w:rsid w:val="61395361"/>
    <w:rsid w:val="619568A1"/>
    <w:rsid w:val="61E55FB1"/>
    <w:rsid w:val="621C03AB"/>
    <w:rsid w:val="6279355D"/>
    <w:rsid w:val="639A232A"/>
    <w:rsid w:val="65051885"/>
    <w:rsid w:val="65A351B3"/>
    <w:rsid w:val="664844DB"/>
    <w:rsid w:val="66A61DDB"/>
    <w:rsid w:val="66EF0425"/>
    <w:rsid w:val="67E9472F"/>
    <w:rsid w:val="68245304"/>
    <w:rsid w:val="684E523E"/>
    <w:rsid w:val="69A8091A"/>
    <w:rsid w:val="69E738AB"/>
    <w:rsid w:val="69F250C6"/>
    <w:rsid w:val="6AA320A2"/>
    <w:rsid w:val="6AB66320"/>
    <w:rsid w:val="6B7F46EC"/>
    <w:rsid w:val="6B815779"/>
    <w:rsid w:val="6BAD5D81"/>
    <w:rsid w:val="6BED1A8C"/>
    <w:rsid w:val="6BF12E3A"/>
    <w:rsid w:val="6C093617"/>
    <w:rsid w:val="6C45386D"/>
    <w:rsid w:val="6C694E40"/>
    <w:rsid w:val="6D60622D"/>
    <w:rsid w:val="6D823F59"/>
    <w:rsid w:val="6D8A33C5"/>
    <w:rsid w:val="6D947F58"/>
    <w:rsid w:val="6E180C5E"/>
    <w:rsid w:val="6F064828"/>
    <w:rsid w:val="6F4845D8"/>
    <w:rsid w:val="709B437D"/>
    <w:rsid w:val="70A63B72"/>
    <w:rsid w:val="70CF1B39"/>
    <w:rsid w:val="710811C7"/>
    <w:rsid w:val="731F7524"/>
    <w:rsid w:val="73972AC5"/>
    <w:rsid w:val="74C905BE"/>
    <w:rsid w:val="75256F4D"/>
    <w:rsid w:val="75452144"/>
    <w:rsid w:val="75BD5CDC"/>
    <w:rsid w:val="75D20892"/>
    <w:rsid w:val="75F1322B"/>
    <w:rsid w:val="760D1C42"/>
    <w:rsid w:val="761148F8"/>
    <w:rsid w:val="767E6A4C"/>
    <w:rsid w:val="76FD6446"/>
    <w:rsid w:val="77325776"/>
    <w:rsid w:val="77B1233A"/>
    <w:rsid w:val="78271476"/>
    <w:rsid w:val="78AA1175"/>
    <w:rsid w:val="79A31C4D"/>
    <w:rsid w:val="7AB07B29"/>
    <w:rsid w:val="7AE13D1E"/>
    <w:rsid w:val="7AEE084D"/>
    <w:rsid w:val="7B79176E"/>
    <w:rsid w:val="7C3D7E88"/>
    <w:rsid w:val="7C4F6825"/>
    <w:rsid w:val="7C857FE2"/>
    <w:rsid w:val="7D343CDB"/>
    <w:rsid w:val="7D4739D9"/>
    <w:rsid w:val="7D575B0D"/>
    <w:rsid w:val="7DBE3FF6"/>
    <w:rsid w:val="7E3C602A"/>
    <w:rsid w:val="7E595DB0"/>
    <w:rsid w:val="7E6B6A35"/>
    <w:rsid w:val="7E73101C"/>
    <w:rsid w:val="7ED01053"/>
    <w:rsid w:val="7F08631B"/>
    <w:rsid w:val="7F232656"/>
    <w:rsid w:val="7F591C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Noto Sans Mono CJK JP Bold" w:hAnsi="Noto Sans Mono CJK JP Bold" w:eastAsia="Noto Sans Mono CJK JP Bold" w:cs="Noto Sans Mono CJK JP Bold"/>
      <w:sz w:val="22"/>
      <w:szCs w:val="22"/>
      <w:lang w:val="en-US" w:eastAsia="zh-CN" w:bidi="ar-SA"/>
    </w:rPr>
  </w:style>
  <w:style w:type="paragraph" w:styleId="2">
    <w:name w:val="heading 1"/>
    <w:basedOn w:val="1"/>
    <w:next w:val="1"/>
    <w:qFormat/>
    <w:uiPriority w:val="1"/>
    <w:pPr>
      <w:ind w:left="552" w:right="499"/>
      <w:jc w:val="center"/>
      <w:outlineLvl w:val="0"/>
    </w:pPr>
    <w:rPr>
      <w:rFonts w:ascii="Noto Sans CJK JP Medium" w:hAnsi="Noto Sans CJK JP Medium" w:eastAsia="Noto Sans CJK JP Medium" w:cs="Noto Sans CJK JP Medium"/>
      <w:sz w:val="44"/>
      <w:szCs w:val="44"/>
    </w:rPr>
  </w:style>
  <w:style w:type="paragraph" w:styleId="3">
    <w:name w:val="heading 2"/>
    <w:basedOn w:val="1"/>
    <w:next w:val="1"/>
    <w:qFormat/>
    <w:uiPriority w:val="1"/>
    <w:pPr>
      <w:spacing w:line="514" w:lineRule="exact"/>
      <w:ind w:left="497" w:right="499"/>
      <w:jc w:val="center"/>
      <w:outlineLvl w:val="1"/>
    </w:pPr>
    <w:rPr>
      <w:rFonts w:ascii="Noto Sans CJK JP Medium" w:hAnsi="Noto Sans CJK JP Medium" w:eastAsia="Noto Sans CJK JP Medium" w:cs="Noto Sans CJK JP Medium"/>
      <w:sz w:val="36"/>
      <w:szCs w:val="36"/>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1"/>
    <w:rPr>
      <w:sz w:val="32"/>
      <w:szCs w:val="32"/>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pPr>
      <w:ind w:left="108" w:right="270" w:firstLine="640"/>
      <w:jc w:val="both"/>
    </w:pPr>
  </w:style>
  <w:style w:type="paragraph" w:customStyle="1" w:styleId="12">
    <w:name w:val="Table Paragraph"/>
    <w:basedOn w:val="1"/>
    <w:qFormat/>
    <w:uiPriority w:val="1"/>
    <w:pPr>
      <w:ind w:left="107"/>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6"/>
    <customShpInfo spid="_x0000_s3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715</Words>
  <Characters>4082</Characters>
  <Lines>34</Lines>
  <Paragraphs>9</Paragraphs>
  <TotalTime>16</TotalTime>
  <ScaleCrop>false</ScaleCrop>
  <LinksUpToDate>false</LinksUpToDate>
  <CharactersWithSpaces>4788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2020-04-03T05:32:00Z</dcterms:created>
  <dc:creator>pc</dc:creator>
  <cp:lastModifiedBy>徐会党</cp:lastModifiedBy>
  <cp:lastPrinted>2021-09-01T00:53:00Z</cp:lastPrinted>
  <dcterms:modified xsi:type="dcterms:W3CDTF">2021-09-07T06:56:36Z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2016-12-19T00:00:00Z</vt:filetime>
  </property>
  <property fmtid="{D5CDD505-2E9C-101B-9397-08002B2CF9AE}" pid="3" name="LastSaved">
    <vt:filetime>2020-04-03T00:00:00Z</vt:filetime>
  </property>
  <property fmtid="{D5CDD505-2E9C-101B-9397-08002B2CF9AE}" pid="4" name="KSOProductBuildVer">
    <vt:lpwstr>2052-11.1.0.10495</vt:lpwstr>
  </property>
  <property fmtid="{D5CDD505-2E9C-101B-9397-08002B2CF9AE}" pid="5" name="ICV">
    <vt:lpwstr>49D5DA13121E402285D879EA46875126</vt:lpwstr>
  </property>
</Properties>
</file>